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58C6" w14:textId="77777777" w:rsidR="007B75C0" w:rsidRDefault="007B75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5245D07" w14:textId="77777777" w:rsidR="007B75C0" w:rsidRDefault="007B75C0">
      <w:pPr>
        <w:pStyle w:val="ConsPlusNormal"/>
        <w:jc w:val="both"/>
        <w:outlineLvl w:val="0"/>
      </w:pPr>
    </w:p>
    <w:p w14:paraId="4F1198C1" w14:textId="77777777" w:rsidR="007B75C0" w:rsidRDefault="007B75C0">
      <w:pPr>
        <w:pStyle w:val="ConsPlusTitle"/>
        <w:jc w:val="center"/>
      </w:pPr>
      <w:r>
        <w:t>ФЕДЕРАЛЬНОЕ АРХИВНОЕ АГЕНТСТВО</w:t>
      </w:r>
    </w:p>
    <w:p w14:paraId="711DFB54" w14:textId="77777777" w:rsidR="007B75C0" w:rsidRDefault="007B75C0">
      <w:pPr>
        <w:pStyle w:val="ConsPlusTitle"/>
        <w:jc w:val="both"/>
      </w:pPr>
    </w:p>
    <w:p w14:paraId="263FAFD7" w14:textId="77777777" w:rsidR="007B75C0" w:rsidRDefault="007B75C0">
      <w:pPr>
        <w:pStyle w:val="ConsPlusTitle"/>
        <w:jc w:val="center"/>
      </w:pPr>
      <w:r>
        <w:t>ПИСЬМО</w:t>
      </w:r>
    </w:p>
    <w:p w14:paraId="74499B5A" w14:textId="77777777" w:rsidR="007B75C0" w:rsidRDefault="007B75C0">
      <w:pPr>
        <w:pStyle w:val="ConsPlusTitle"/>
        <w:jc w:val="center"/>
      </w:pPr>
      <w:r>
        <w:t>от 6 октября 2020 г. N 3/2617-Ю</w:t>
      </w:r>
    </w:p>
    <w:p w14:paraId="46D9BA24" w14:textId="77777777" w:rsidR="007B75C0" w:rsidRDefault="007B75C0">
      <w:pPr>
        <w:pStyle w:val="ConsPlusNormal"/>
        <w:jc w:val="both"/>
      </w:pPr>
    </w:p>
    <w:p w14:paraId="29C6C707" w14:textId="77777777" w:rsidR="007B75C0" w:rsidRDefault="007B75C0">
      <w:pPr>
        <w:pStyle w:val="ConsPlusNormal"/>
        <w:ind w:firstLine="540"/>
        <w:jc w:val="both"/>
      </w:pPr>
      <w:r>
        <w:t xml:space="preserve">Федеральное архивное агентство информирует о том, что Министерством труда и социальной защиты Российской Федерации разработаны Методические </w:t>
      </w:r>
      <w:hyperlink r:id="rId5" w:history="1">
        <w:r>
          <w:rPr>
            <w:color w:val="0000FF"/>
          </w:rPr>
          <w:t>рекомендации</w:t>
        </w:r>
      </w:hyperlink>
      <w: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(далее - Методические рекомендации).</w:t>
      </w:r>
    </w:p>
    <w:p w14:paraId="49CE2A1D" w14:textId="77777777" w:rsidR="007B75C0" w:rsidRDefault="007B75C0">
      <w:pPr>
        <w:pStyle w:val="ConsPlusNormal"/>
        <w:spacing w:before="220"/>
        <w:ind w:firstLine="540"/>
        <w:jc w:val="both"/>
      </w:pPr>
      <w:r>
        <w:t xml:space="preserve">Предметом Методических </w:t>
      </w:r>
      <w:hyperlink r:id="rId6" w:history="1">
        <w:r>
          <w:rPr>
            <w:color w:val="0000FF"/>
          </w:rPr>
          <w:t>рекомендаций</w:t>
        </w:r>
      </w:hyperlink>
      <w:r>
        <w:t xml:space="preserve"> является порядок проведения оценки коррупционных рисков, возникающих при осуществлении закупочной деятельности государственным органом, органом местного самоуправления или организацией.</w:t>
      </w:r>
    </w:p>
    <w:p w14:paraId="05327AD2" w14:textId="77777777" w:rsidR="007B75C0" w:rsidRDefault="007B75C0">
      <w:pPr>
        <w:pStyle w:val="ConsPlusNormal"/>
        <w:spacing w:before="220"/>
        <w:ind w:firstLine="540"/>
        <w:jc w:val="both"/>
      </w:pPr>
      <w:r>
        <w:t xml:space="preserve">Указанные Методические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размещены в специализированном информационно-методическом ресурсе по вопросам противодействия коррупции, созданном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и доступны для ознакомления и скачивания по ссылке: https://gossluzhba.gov.ru/page/index/metod3.</w:t>
      </w:r>
    </w:p>
    <w:p w14:paraId="7C9E8D6C" w14:textId="77777777" w:rsidR="007B75C0" w:rsidRDefault="007B75C0">
      <w:pPr>
        <w:pStyle w:val="ConsPlusNormal"/>
        <w:spacing w:before="220"/>
        <w:ind w:firstLine="540"/>
        <w:jc w:val="both"/>
      </w:pPr>
      <w:r>
        <w:t xml:space="preserve">Дополнительно обращаю внимание, что Росархив рассматривает возможность последующего проведения мониторинга апробации и внедрения мероприятий, заложенных в Методических </w:t>
      </w:r>
      <w:hyperlink r:id="rId8" w:history="1">
        <w:r>
          <w:rPr>
            <w:color w:val="0000FF"/>
          </w:rPr>
          <w:t>рекомендациях</w:t>
        </w:r>
      </w:hyperlink>
      <w:r>
        <w:t>.</w:t>
      </w:r>
    </w:p>
    <w:p w14:paraId="69A45ED8" w14:textId="77777777" w:rsidR="007B75C0" w:rsidRDefault="007B75C0">
      <w:pPr>
        <w:pStyle w:val="ConsPlusNormal"/>
        <w:spacing w:before="220"/>
        <w:ind w:firstLine="540"/>
        <w:jc w:val="both"/>
      </w:pPr>
      <w:r>
        <w:t xml:space="preserve">В этой связи рекомендуется самостоятельно с учетом положений Методических </w:t>
      </w:r>
      <w:hyperlink r:id="rId9" w:history="1">
        <w:r>
          <w:rPr>
            <w:color w:val="0000FF"/>
          </w:rPr>
          <w:t>рекомендаций</w:t>
        </w:r>
      </w:hyperlink>
      <w:r>
        <w:t xml:space="preserve"> определить собственные коррупционные риски и индикаторы коррупции, возникающие при осуществлении закупок.</w:t>
      </w:r>
    </w:p>
    <w:p w14:paraId="61D772FC" w14:textId="77777777" w:rsidR="007B75C0" w:rsidRDefault="007B75C0">
      <w:pPr>
        <w:pStyle w:val="ConsPlusNormal"/>
        <w:spacing w:before="220"/>
        <w:ind w:firstLine="540"/>
        <w:jc w:val="both"/>
      </w:pPr>
      <w:r>
        <w:t>С целью руководства и использования в работе прошу довести данную информацию до сведения работников, ответственных за противодействие коррупции и профилактику коррупционных правонарушений.</w:t>
      </w:r>
    </w:p>
    <w:p w14:paraId="21632AAE" w14:textId="77777777" w:rsidR="007B75C0" w:rsidRDefault="007B75C0">
      <w:pPr>
        <w:pStyle w:val="ConsPlusNormal"/>
        <w:jc w:val="both"/>
      </w:pPr>
    </w:p>
    <w:p w14:paraId="746915B9" w14:textId="77777777" w:rsidR="007B75C0" w:rsidRDefault="007B75C0">
      <w:pPr>
        <w:pStyle w:val="ConsPlusNormal"/>
        <w:jc w:val="right"/>
      </w:pPr>
      <w:r>
        <w:t>А.В.ЮРАСОВ</w:t>
      </w:r>
    </w:p>
    <w:p w14:paraId="7E73431A" w14:textId="77777777" w:rsidR="007B75C0" w:rsidRDefault="007B75C0">
      <w:pPr>
        <w:pStyle w:val="ConsPlusNormal"/>
        <w:jc w:val="both"/>
      </w:pPr>
    </w:p>
    <w:p w14:paraId="26E2480A" w14:textId="77777777" w:rsidR="007B75C0" w:rsidRDefault="007B75C0">
      <w:pPr>
        <w:pStyle w:val="ConsPlusNormal"/>
        <w:jc w:val="both"/>
      </w:pPr>
    </w:p>
    <w:p w14:paraId="51F26A65" w14:textId="77777777" w:rsidR="007B75C0" w:rsidRDefault="007B7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BB8CE7" w14:textId="77777777" w:rsidR="00BB5B2B" w:rsidRDefault="007B75C0"/>
    <w:sectPr w:rsidR="00BB5B2B" w:rsidSect="0089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C0"/>
    <w:rsid w:val="007B75C0"/>
    <w:rsid w:val="00BF33D5"/>
    <w:rsid w:val="00C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4304"/>
  <w15:chartTrackingRefBased/>
  <w15:docId w15:val="{FDB82DE2-C37A-436F-BEB5-C9AF7C30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7642A90FECF895B1DE9EEE480625FD63A186624EF067312802C02D5939D1015B68F29D1FE89309BC59E0509e14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7642A90FECF895B1DE9EEE480625FD63A186624EF067312802C02D5939D1015B68F29D1FE89309BC59E0509e14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7642A90FECF895B1DE9EEE480625FD63A186624EF067312802C02D5939D1015B68F29D1FE89309BC59E0509e14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27642A90FECF895B1DE9EEE480625FD63A186624EF067312802C02D5939D1015B68F29D1FE89309BC59E0509e144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27642A90FECF895B1DE9EEE480625FD63A186624EF067312802C02D5939D1015B68F29D1FE89309BC59E0509e14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Карина Александровна</dc:creator>
  <cp:keywords/>
  <dc:description/>
  <cp:lastModifiedBy>Шумкова Карина Александровна</cp:lastModifiedBy>
  <cp:revision>1</cp:revision>
  <dcterms:created xsi:type="dcterms:W3CDTF">2021-03-19T14:56:00Z</dcterms:created>
  <dcterms:modified xsi:type="dcterms:W3CDTF">2021-03-19T14:56:00Z</dcterms:modified>
</cp:coreProperties>
</file>