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самовольно возведенных некапитальных строений, </w:t>
      </w:r>
      <w:r/>
    </w:p>
    <w:p>
      <w:pPr>
        <w:pStyle w:val="8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сооружений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2023 году</w:t>
      </w:r>
      <w:r/>
    </w:p>
    <w:p>
      <w:r/>
      <w:r/>
    </w:p>
    <w:tbl>
      <w:tblPr>
        <w:tblStyle w:val="668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268"/>
        <w:gridCol w:w="4252"/>
        <w:gridCol w:w="2410"/>
      </w:tblGrid>
      <w:tr>
        <w:trPr>
          <w:tblHeader/>
        </w:trPr>
        <w:tc>
          <w:tcPr>
            <w:tcW w:w="7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самовольной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самовольной постройки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в котором отражена самовольная постройка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10" w:type="dxa"/>
            <w:textDirection w:val="lrTb"/>
            <w:noWrap w:val="false"/>
          </w:tcPr>
          <w:p>
            <w:pPr>
              <w:pStyle w:val="81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(забор) с навесом 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Мирный,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осмотра от 25.01.2023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2023-01-25T07:56:17Z</dcterms:modified>
</cp:coreProperties>
</file>