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 года         №__________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CA8" w:rsidRDefault="00772CA8" w:rsidP="00772CA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72CA8" w:rsidRDefault="00772CA8" w:rsidP="00772CA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04D63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(«дорожная карта»)</w:t>
      </w:r>
    </w:p>
    <w:p w:rsidR="00104D63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9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содействию развитию конкуренции</w:t>
      </w:r>
      <w:r w:rsidR="0010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</w:t>
      </w:r>
      <w:r w:rsidR="0088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3808" w:rsidRDefault="008830AC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r w:rsidR="0077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Светлогорск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77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7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2019-2022 годы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72CA8" w:rsidRDefault="00772CA8" w:rsidP="00772CA8">
      <w:pPr>
        <w:keepNext/>
        <w:spacing w:after="0" w:line="240" w:lineRule="auto"/>
        <w:ind w:right="-5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17.04.2019 года № 768-р, в целях обеспечения развития конкуренции на территории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МО «Светлогорский городской округ»  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6F7D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(«дорожная карта») по содействию развитию </w:t>
      </w:r>
      <w:r w:rsidR="00493808">
        <w:rPr>
          <w:rFonts w:ascii="Times New Roman" w:hAnsi="Times New Roman" w:cs="Times New Roman"/>
          <w:sz w:val="28"/>
          <w:szCs w:val="28"/>
        </w:rPr>
        <w:t>конкуренции</w:t>
      </w:r>
      <w:r w:rsidR="00104D6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 округ» на 2019-2022 годы согласно приложению к настоящему Постановлению.</w:t>
      </w:r>
    </w:p>
    <w:p w:rsidR="00772CA8" w:rsidRDefault="00772CA8" w:rsidP="00772C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«Светлогорский городской округ» О.В. Туркину.</w:t>
      </w:r>
    </w:p>
    <w:p w:rsidR="00772CA8" w:rsidRPr="008A5DC6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</w:t>
      </w:r>
      <w:r w:rsidRPr="008A5DC6">
        <w:rPr>
          <w:rFonts w:ascii="Times New Roman" w:hAnsi="Times New Roman" w:cs="Times New Roman"/>
          <w:color w:val="000000"/>
          <w:sz w:val="28"/>
          <w:szCs w:val="28"/>
        </w:rPr>
        <w:t xml:space="preserve">округ» </w:t>
      </w:r>
      <w:hyperlink r:id="rId4" w:history="1">
        <w:r w:rsidRPr="008A5D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5DC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D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Pr="008A5DC6">
          <w:rPr>
            <w:rStyle w:val="a5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Pr="008A5DC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5DC6"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104D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опубликования.</w:t>
      </w:r>
      <w:bookmarkStart w:id="0" w:name="_GoBack"/>
      <w:bookmarkEnd w:id="0"/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В.В. Бондаренко</w:t>
      </w:r>
    </w:p>
    <w:p w:rsidR="00772CA8" w:rsidRDefault="00772CA8" w:rsidP="00772CA8">
      <w:pPr>
        <w:widowControl w:val="0"/>
        <w:spacing w:after="0" w:line="240" w:lineRule="auto"/>
        <w:ind w:left="5237" w:hanging="134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80868" w:rsidRDefault="0028086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2CA8" w:rsidRPr="0028086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r:id="rId5" w:anchor="sub_0" w:history="1">
        <w:r w:rsidRPr="002808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 w:rsidRPr="002808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</w:t>
      </w:r>
    </w:p>
    <w:p w:rsidR="00772CA8" w:rsidRPr="0028086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>МО «Светлогорский городской округ»</w:t>
      </w:r>
    </w:p>
    <w:p w:rsidR="00772CA8" w:rsidRDefault="00772CA8" w:rsidP="00772CA8">
      <w:pPr>
        <w:widowControl w:val="0"/>
        <w:spacing w:after="0" w:line="240" w:lineRule="auto"/>
        <w:ind w:left="4529" w:firstLine="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>от ________________ № ______</w:t>
      </w:r>
    </w:p>
    <w:p w:rsidR="00772CA8" w:rsidRDefault="00772CA8" w:rsidP="00772CA8">
      <w:pPr>
        <w:widowControl w:val="0"/>
        <w:spacing w:after="0" w:line="240" w:lineRule="auto"/>
        <w:ind w:left="4529" w:firstLine="1843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достижению ключевых показателей развития конкуренции на территории муниципального образования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– 2022 г.г.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достижению ключевых показателей развития конкуренции на территории МО «Светлогорский городской округ» на 2019–2022 г.г. (далее – «дорожная карта») разработан экономическим отделом администрации - уполномоченным органом по внедрению стандарта развития конкуренции в Светлогорском</w:t>
      </w:r>
      <w:r w:rsidR="00104D63">
        <w:rPr>
          <w:rFonts w:ascii="Times New Roman" w:hAnsi="Times New Roman" w:cs="Times New Roman"/>
          <w:sz w:val="28"/>
          <w:szCs w:val="28"/>
        </w:rPr>
        <w:t xml:space="preserve"> городском</w:t>
      </w:r>
      <w:r>
        <w:rPr>
          <w:rFonts w:ascii="Times New Roman" w:hAnsi="Times New Roman" w:cs="Times New Roman"/>
          <w:sz w:val="28"/>
          <w:szCs w:val="28"/>
        </w:rPr>
        <w:t xml:space="preserve"> округе совместно с муниципальными органами, координирующими мероприятия по развитию конкуренции в соответствии со сферами ведения, в соответствии с рекомендациями стандарта развития конкуренции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субъектах Российской Федерации, утвержденного распоряжением Правительства Российской Федерации от 17.04.2019 № 768-р, во исполнение подпункта «б» пункта 2 перечня поручений Президента Российской Федерации от 15.05.2018 № Пр-817ГС по итогам заседания Государственного совета Российской Федерации 05.04.2018 года.</w:t>
      </w:r>
      <w:proofErr w:type="gramEnd"/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в соответствии с Методиками расчета ключевых показателей развития конкуренции в отраслях экономики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утвержденными приказом ФАС России </w:t>
      </w:r>
      <w:r>
        <w:rPr>
          <w:rFonts w:ascii="Times New Roman" w:hAnsi="Times New Roman" w:cs="Times New Roman"/>
          <w:sz w:val="28"/>
          <w:szCs w:val="28"/>
        </w:rPr>
        <w:br/>
        <w:t>от 29.08.2018 № 1232/18.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приведен краткий анализ состояния конкурентной среды в разрезе сфер (рынков) Светлогорского</w:t>
      </w:r>
      <w:r w:rsidR="00104D6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анализ состояния конкурентной среды включается в ежегодный доклад о состоянии и развитии конкурентной среды на рынках товаров, работ и услуг Светлогорского городского округа.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определены мероприятия по двум основным направлениям: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мероприятия по содействию развитию конкуренции на товарных рынках МО «Светлогорский городской округ»;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системные мероприятия по развитию конкурентной среды в МО «Светлогорский городской округ».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«дорожной карте» направлены на совершенствование процессов управления объектами муниципальной собственности в рамках полномочий Администрации округа, и на ограничение влияния муниципальных предприятий на конкуренцию.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финансовой нагрузки на бюджет округа будет  осуществляться оптимизация количества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МУП) за счет снятия с учета нефункционирующих предприятий, проведения реорганизационных и ликвидационных мероприятий, при соблюдении требований действующего законодательства.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приведет к повышению эффективности использования муниципального имущества и увеличению размера доходов, поступающих в окружной бюджет. Кроме того, снизится численность низкорентабельных муниципальных предприятий и учреждений, не  осуществляющих решение социальных задач.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приемлемой формой оптимизации количества МУП является реорганизация путем присоединения низкорентабельных предприятий к предприятиям, способным осуществить эффективное использование муниципального имущества и трудовых ресурсов. Основную массу МУП планируется оптимизировать именно таким способом. Основным экономическим эффектом будет сокращение численности управленческого персонала, которое позволит снизить общехозяйственные расходы предприятий.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на территории МО «Светлогорский  городской округ» осуществляли финансово-хозяйственную деятельность 6 муниципальных унитарных предприятия и одно муниципальное казенное предприятие (далее – муниципальные предприятия):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«Светлогорскмежрайводоканал» - оказывающее услуги по водоснабжению  и теплоснабжению;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МУП «Светлогорские парки»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на канатной дороге, по парковке автомобилей, услуги платного туалета, услуги Центра выставочного творчества;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«Ритуальное обслуживание населения» Города Светлогорска - оказывающее услуги по содержанию кладбищ;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«Светлогорский рынок»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предприятие по организации торговли мелкорозничной сети на территории города  Светлогорска;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МКП «Водоканал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округа» - оказывающее услуги по водоснабжению, водоотведению и теплоснабжению;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МУП «Расчетно-кассовый центр Светлогорского городского округа» - оказывающее услуги по начислению, учету, сбору, обработке платежей за ЖКХ;</w:t>
      </w:r>
      <w:proofErr w:type="gramEnd"/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-МУП «Редакция газеты «Вестник Светлогорска» - осуществляет деятельность информационных агентств.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 мероприятий («дорожной карты») по содействию развитию конкуренции на товарных рынках МО «Светлогорский городской округ»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2019-2022 годы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</w:rPr>
      </w:pPr>
    </w:p>
    <w:p w:rsidR="00104D63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bookmarkStart w:id="1" w:name="_Toc536460515"/>
      <w:r>
        <w:rPr>
          <w:rFonts w:ascii="Times New Roman" w:hAnsi="Times New Roman" w:cs="Times New Roman"/>
          <w:color w:val="auto"/>
        </w:rPr>
        <w:t>1. 1.РАЗВИТИЕ КОНКУРЕНЦИИ НА РЫНКЕ РИТУАЛЬНЫХ УСЛУГ</w:t>
      </w:r>
    </w:p>
    <w:p w:rsidR="00772CA8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End w:id="1"/>
    </w:p>
    <w:p w:rsidR="00772CA8" w:rsidRDefault="00772CA8" w:rsidP="00772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достижение ключевого показателя и координацию мероприятий – Экономический отдел администрации МО «Светлогорский городской округ».</w:t>
      </w:r>
    </w:p>
    <w:p w:rsidR="00104D63" w:rsidRDefault="00104D63" w:rsidP="00772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1.1.1. Исходная информация в отношении ситуации и проблематики на рынке ритуальных услуг 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года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компетенции администрации муниципального образования входит: </w:t>
      </w:r>
    </w:p>
    <w:p w:rsidR="00772CA8" w:rsidRDefault="00772CA8" w:rsidP="0077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правил и способов эксплуатации кладбищ, создание специализированных служб по вопросам оказания ритуальных услуг, координация всех обрядовых и ритуальных проблем, в области реконструкции и расширения кладбищ, принятие решений о передаче мест захоронения управляющей компании для организации их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иных ритуальных организаций. 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муниципалитета занимается социальными вопросами, связанными с ритуалом похорон такими, как, захоронение неопознанных тел, умерших малоимущих и одиноко проживающих граждан, изготовление надгробий участникам Великой Отечественной войны, предоставление социальных выплат.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кладбищ и других специализированных служб, осуществляется совместно с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на территории округа ритуальные услуги оказывают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 и 1 муниципальное унитарное предприятие «Ритуальные обслуживание населения».</w:t>
      </w:r>
    </w:p>
    <w:p w:rsidR="00772CA8" w:rsidRDefault="00772CA8" w:rsidP="00772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Сформировавшийся рынок ритуальных услуг является достаточно стабильным, фирмы, предоставляющие ритуальные услуги, успешно ведут свою деятельность уже более 10 лет. Они оказывают широкий спектр услуг в рамках похоронной отрасли, который зависит от выбора и уровня обеспеченности клиента.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Характерные особенности рынка</w:t>
      </w:r>
    </w:p>
    <w:p w:rsidR="00772CA8" w:rsidRDefault="00772CA8" w:rsidP="00772CA8">
      <w:pPr>
        <w:pStyle w:val="a7"/>
        <w:widowControl w:val="0"/>
        <w:tabs>
          <w:tab w:val="left" w:pos="567"/>
          <w:tab w:val="left" w:pos="709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Особенность рынка обусловлена близостью расположения соседних муниципалитетов, так до города Пионерского (административный центр Пионерского городского округа) всего 3 км, где осуществляют свою деятельность 3 хозяйствующих субъекта в сфере ритуальных услуг (похоронного дела), которые оказывают услуги также и жителям Светлогорского округа. </w:t>
      </w:r>
    </w:p>
    <w:p w:rsidR="00772CA8" w:rsidRDefault="00772CA8" w:rsidP="00772CA8">
      <w:pPr>
        <w:pStyle w:val="a7"/>
        <w:widowControl w:val="0"/>
        <w:tabs>
          <w:tab w:val="left" w:pos="567"/>
          <w:tab w:val="left" w:pos="709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1.1.4. Характеристика основных административных и экономических барьеров входа на рынок ритуальных услуг</w:t>
      </w: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и экономические барьеры входа на рынок ритуальных услуг в МО «Светлогорский городской округ» отсутствуют.</w:t>
      </w: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уходу за муниципальным кладбищем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Светлогорске, ежегодно торгуется администрацией округа в рамках 44-ФЗ с обязательным участием СМП.</w:t>
      </w:r>
    </w:p>
    <w:p w:rsidR="00104D63" w:rsidRDefault="00104D63" w:rsidP="00772CA8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1.1.5. Меры по развитию рынка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программы развития деятельности в области управления ритуальными услугами на территории муниципальных образований;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Предложение методических рекомендаций по созданию общественных коллегиальных органов развития сферы ритуальных услуг.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1.1.6. Перспективы развития рынка</w:t>
      </w:r>
    </w:p>
    <w:p w:rsidR="00772CA8" w:rsidRDefault="00772CA8" w:rsidP="00772CA8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Уход Светлогорского муниципалитета с рынка ритуальных услуг к 2022 году. Муниципальные казенные учреждения оказывают услуги только по гарантированному перечню и содержанию мест захоронения.</w:t>
      </w:r>
    </w:p>
    <w:p w:rsidR="00772CA8" w:rsidRDefault="00772CA8" w:rsidP="00772CA8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tbl>
      <w:tblPr>
        <w:tblW w:w="108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1909"/>
        <w:gridCol w:w="1700"/>
        <w:gridCol w:w="1700"/>
        <w:gridCol w:w="1699"/>
        <w:gridCol w:w="1701"/>
        <w:gridCol w:w="1558"/>
      </w:tblGrid>
      <w:tr w:rsidR="00772CA8" w:rsidTr="00772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72CA8" w:rsidTr="00772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Включение в муниципальные программы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мероприятий по реорганизации муниципальных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унитарных предприятий и муниципальных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бюджетных учреждений в </w:t>
            </w:r>
            <w:proofErr w:type="gramStart"/>
            <w:r>
              <w:rPr>
                <w:szCs w:val="24"/>
                <w:lang w:eastAsia="en-US"/>
              </w:rPr>
              <w:t>муниципальные</w:t>
            </w:r>
            <w:proofErr w:type="gramEnd"/>
            <w:r>
              <w:rPr>
                <w:szCs w:val="24"/>
                <w:lang w:eastAsia="en-US"/>
              </w:rPr>
              <w:t xml:space="preserve"> казенные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</w:t>
            </w:r>
            <w:r>
              <w:rPr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Уход с рынка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Уход с рынка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ритуальных услуг. МКУ  оказывают услуги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только по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гарантирован-ному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перечню и</w:t>
            </w:r>
          </w:p>
          <w:p w:rsidR="00772CA8" w:rsidRDefault="00772CA8">
            <w:pPr>
              <w:pStyle w:val="ConsPlusNormal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Администра</w:t>
            </w:r>
            <w:proofErr w:type="spellEnd"/>
            <w:r>
              <w:rPr>
                <w:szCs w:val="24"/>
                <w:lang w:eastAsia="en-US"/>
              </w:rPr>
              <w:t>-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тивно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-ю</w:t>
            </w:r>
            <w:proofErr w:type="gramEnd"/>
            <w:r>
              <w:rPr>
                <w:szCs w:val="24"/>
                <w:lang w:eastAsia="en-US"/>
              </w:rPr>
              <w:t xml:space="preserve">ридический отдел и </w:t>
            </w:r>
          </w:p>
          <w:p w:rsidR="00772CA8" w:rsidRDefault="00772CA8">
            <w:pPr>
              <w:pStyle w:val="ConsPlusNormal"/>
              <w:jc w:val="both"/>
              <w:rPr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экономичес-кий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отдел </w:t>
            </w:r>
            <w:proofErr w:type="spellStart"/>
            <w:r>
              <w:rPr>
                <w:szCs w:val="24"/>
                <w:lang w:eastAsia="en-US"/>
              </w:rPr>
              <w:t>администра-ции</w:t>
            </w:r>
            <w:proofErr w:type="spellEnd"/>
            <w:r>
              <w:rPr>
                <w:szCs w:val="24"/>
                <w:lang w:eastAsia="en-US"/>
              </w:rPr>
              <w:t xml:space="preserve"> СГО</w:t>
            </w:r>
          </w:p>
        </w:tc>
      </w:tr>
    </w:tbl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показатель, рассчитанный в соответствии с методическими рекомендациями, утвержденными приказом Федеральной антимонопольной службы от 29 августа 2018 года № 1232/18 (приложение № 11):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участия ритуальных организаций частной формы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2621280" cy="434340"/>
            <wp:effectExtent l="19050" t="0" r="7620" b="0"/>
            <wp:docPr id="1" name="Рисунок 1" descr="base_1_306066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06066_327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Vn</w:t>
      </w:r>
      <w:proofErr w:type="spellEnd"/>
      <w:r>
        <w:rPr>
          <w:sz w:val="28"/>
          <w:szCs w:val="28"/>
        </w:rPr>
        <w:t xml:space="preserve"> - объем выручки &lt;1&gt; организаций частной формы собственности, осуществляющих деятельность на рынке ритуальных услуг соответствующего субъекта Российской Федерации в отчетном периоде;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- общий объем выручки &lt;1&gt; всех хозяйствующих субъектов (всех форм собственности), осуществляющих деятельность на рынке ритуальных услуг соответствующего субъекта Российской Федерации в отчетном периоде.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а исключением выручки от оказания услуг (выполнения работ) по содержанию и благоустройству кладбищ.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2019 г. - 48%, 2020 г.- 50%, 2021г. – 52%, 2022г.-54%.</w:t>
      </w:r>
    </w:p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1.1.7. Перечень ключевых показателей развития конкуренции на рынке ритуальных услуг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874"/>
        <w:gridCol w:w="875"/>
        <w:gridCol w:w="875"/>
        <w:gridCol w:w="875"/>
        <w:gridCol w:w="2172"/>
      </w:tblGrid>
      <w:tr w:rsidR="00772CA8" w:rsidTr="00772CA8">
        <w:trPr>
          <w:trHeight w:val="2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72CA8" w:rsidTr="00772CA8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CA8" w:rsidTr="00772CA8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2CA8" w:rsidTr="00772CA8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 администрации Светлогорского округа</w:t>
            </w:r>
          </w:p>
        </w:tc>
      </w:tr>
    </w:tbl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1.1.8. Мероприятия по достижению показателя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588"/>
        <w:gridCol w:w="1984"/>
        <w:gridCol w:w="1350"/>
        <w:gridCol w:w="1769"/>
        <w:gridCol w:w="2127"/>
      </w:tblGrid>
      <w:tr w:rsidR="00772CA8" w:rsidTr="00772C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772CA8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772CA8">
        <w:trPr>
          <w:trHeight w:val="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 сферы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ритуальных услуг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похоронной отрасли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не реже двух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Светлогорского округа</w:t>
            </w:r>
          </w:p>
        </w:tc>
      </w:tr>
      <w:tr w:rsidR="00772CA8" w:rsidTr="00772CA8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ритуальными услугами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772CA8" w:rsidRDefault="00772C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CA8" w:rsidRDefault="00772CA8" w:rsidP="00772CA8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Системные мероприятия по развитию конкурентной среды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</w:t>
      </w: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Мероприятия, направленные на оптимизацию процедур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 и услуг.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 (ключевые характеристики) и проблемные вопросы.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в Российской Федерации реализуется новый подход к регулированию сферы государственных и муниципальных закупок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 ФЗ).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Совершенствуются меры, направленные на поддержку субъектов малого и среднего предпринимательства. Ряд норм Федерального закона № 44-ФЗ вступили в силу с 1 января 2017 года, согласно которым муниципальные унитарные предприятия с 1 января 2017 года осуществляют закупочную деятельность с учетом требований указанного закона.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 2018 год показывают положительную динамику по основным ключевым показателям эффективности системы закупок.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доля заключенных контрактов с СМСП по процедурам торгов и запросов котировок, проведенным для СМСП в соответствии с Федеральным законом № 44-ФЗ, в общей стоимости заключенных контрактов составила 18,6%,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совокупном годовом объеме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ч. 1.1 ст. 30 № 44-ФЗ доля закупок у СМП составила 22,4%.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проблемными вопросами являются соблюдение требований законодательства о защите конкуренции при осуществлении закупок товаров, работ, услуг, снижение доли конкурентных закупочных процедур, признанных несостоявшимися, совершенствование системы организации закупок на ведомственном уровне, формирование системы мониторинга и контроля исполнения контрактов на поставку товаров (работ, услуг) их подведомственными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содействию развитию конкуренции позволит снижать количество нарушений антимонопольного законодательства, сократить долю закупок, признанных несостоявшимися, не менее чем на 4 процента ежегодно от уровня 2018 года.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 при осуществлении процедур закупок товаров, работ и услуг муниципальными учреждениями и унитарными предприятиями Светлогорского округа, в том числе за счет расширения участия в указанных процедурах субъектов малого и среднего предпринимательства: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доля закупок у СМСП (включая закупки, участниками которых являются любые лица, в т.ч. СМСП, и закупки, в отношении участников которых заказчиком устанавливается требование о привлечении к исполнению договора субподрядчиков из числа СМСП), в общем годовом стоимостном объеме закупок, осуществляемых в соответствии с №44-ФЗ «О контрактной системе в сфере закупок товаров, работ, услуг для обеспечения государственных и муниципальных нужд»: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чем 15% совокупного годового объема закупок;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(участники) – 3.</w:t>
      </w:r>
    </w:p>
    <w:p w:rsidR="00772CA8" w:rsidRDefault="00772CA8" w:rsidP="00772C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3"/>
        <w:gridCol w:w="2729"/>
        <w:gridCol w:w="1983"/>
        <w:gridCol w:w="1349"/>
        <w:gridCol w:w="1768"/>
        <w:gridCol w:w="1846"/>
      </w:tblGrid>
      <w:tr w:rsidR="00772CA8" w:rsidTr="00772CA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772CA8">
        <w:trPr>
          <w:trHeight w:val="1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772CA8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закупок, участниками которых являются субъекты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социально-ориентированные неком-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 сфере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закупок у субъектов малого и среднего предпринимательства</w:t>
            </w:r>
          </w:p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15%)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Светлогорского округа</w:t>
            </w:r>
          </w:p>
        </w:tc>
      </w:tr>
      <w:tr w:rsidR="00772CA8" w:rsidTr="00772CA8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 уменьшению количества конкурентных 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признанных несостоявшимися в связи с отсутствием поданных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участие, включая: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формирование перечня продукции, по которой конкурентные закупочные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были признаны несостоявшимися в связи с отсутствием поданных заявок на участие;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определение перечня потенциальных поставщиков, подрядчиков,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 такой продукции;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выявление причин их неучастия в закупочной процедуре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которые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привели 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менее):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90%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Светлогорского округа</w:t>
            </w:r>
          </w:p>
        </w:tc>
      </w:tr>
      <w:tr w:rsidR="00772CA8" w:rsidTr="00772CA8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вынесенных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контрольными органами решений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Светлогорского округа</w:t>
            </w:r>
          </w:p>
        </w:tc>
      </w:tr>
      <w:tr w:rsidR="00772CA8" w:rsidTr="00772CA8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закупок по вопросам,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 участием в конкурентных закупочных процедурах, проводимых в соответствии с № 44-ФЗ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семинаров с СМСП: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Светлогорского округа</w:t>
            </w:r>
          </w:p>
        </w:tc>
      </w:tr>
      <w:tr w:rsidR="00772CA8" w:rsidTr="00772CA8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 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закупках;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добросовестной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при осуществлении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муниципальных 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5.04.2013 г.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2. Мероприятия, направленные на устранение избыточного государственного и муниципального регулирования, а также на снижение административных барьеров.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 (ключевые характеристики) и проблемные вопросы.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2016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внедрен институт оценки регулирующего воздействия (далее также - ОРВ). Все проекты нормативных правовых актов в сфере инвестиционной, предпринимательской деятельности проходят общественное обсуждение. До разработки и утверждения нормативного акта на официальном сайте Администрации </w:t>
      </w:r>
      <w:hyperlink r:id="rId7" w:history="1">
        <w:r>
          <w:rPr>
            <w:rStyle w:val="a5"/>
            <w:rFonts w:ascii="Times New Roman" w:hAnsi="Times New Roman" w:cs="Times New Roman"/>
            <w:lang w:val="en-US"/>
          </w:rPr>
          <w:t>www</w:t>
        </w:r>
        <w:r>
          <w:rPr>
            <w:rStyle w:val="a5"/>
            <w:rFonts w:ascii="Times New Roman" w:hAnsi="Times New Roman" w:cs="Times New Roman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lang w:val="en-US"/>
          </w:rPr>
          <w:t>svetlogorsk</w:t>
        </w:r>
        <w:proofErr w:type="spellEnd"/>
        <w:r>
          <w:rPr>
            <w:rStyle w:val="a5"/>
            <w:rFonts w:ascii="Times New Roman" w:hAnsi="Times New Roman" w:cs="Times New Roman"/>
          </w:rPr>
          <w:t>39.</w:t>
        </w:r>
        <w:proofErr w:type="spellStart"/>
        <w:r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начале проведения публичных слушаний, проект нормативного акта и пояснительная записка. По итогам проведения публичных слушаний уполномоченным органом администрации составляется заключение об оценке регулирующего воздействия проекта НПА.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оценки регулирующего воздействия позволяет учитывать мнения, замечания, предложения максимального числа субъектов предпринимательской, инвестиционной деятельности, а также обеспечивать прозрачность процедур ОРВ. При администрации округа создана рабочая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по ОРВ, в состав которой вошли представители бизнеса, общественных организаций, сотрудники администрации Светлогорского городского округа.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действующих правовых актах:</w:t>
      </w:r>
    </w:p>
    <w:p w:rsidR="00772CA8" w:rsidRDefault="00772CA8" w:rsidP="00772CA8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от 14.03.2016 г. № 222 «Об утверждении Положения о проведении </w:t>
      </w:r>
      <w:proofErr w:type="gramStart"/>
      <w:r>
        <w:rPr>
          <w:sz w:val="28"/>
          <w:szCs w:val="28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>
        <w:rPr>
          <w:sz w:val="28"/>
          <w:szCs w:val="28"/>
        </w:rPr>
        <w:t xml:space="preserve"> муниципального образования  «Светлогорский район» и экспертизы муниципальных нормативных правовых актов администрации  муниципального образования  «Светлогорский район», затрагивающих вопросы осуществления предпринимательской и инвестиционной деятельности»;</w:t>
      </w:r>
    </w:p>
    <w:p w:rsidR="00772CA8" w:rsidRDefault="00772CA8" w:rsidP="00772CA8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от 21.05.2019 г. № 465 «Об утверждении перечня муниципальных услуг, предоставляемых администрацией муниципального образования «Светлогорский городской округ» и услуг, предоставляемых  муниципальными учреждениями и иными организациями, в которых размещается муниципальное задание (заказ)»;</w:t>
      </w:r>
    </w:p>
    <w:p w:rsidR="00772CA8" w:rsidRDefault="00772CA8" w:rsidP="00772CA8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от 21.05.2019 г. № 467 «Об утверждении перечня муниципальных услуг, предоставляемых через муниципальное казенное учреждение «Многофункциональный центр предоставления государственных и муниципальных услуг» Светлогорского городского округа»;</w:t>
      </w:r>
    </w:p>
    <w:p w:rsidR="00772CA8" w:rsidRDefault="00772CA8" w:rsidP="00772CA8">
      <w:pPr>
        <w:pStyle w:val="a8"/>
        <w:snapToGrid w:val="0"/>
        <w:ind w:firstLine="709"/>
        <w:jc w:val="both"/>
        <w:rPr>
          <w:bCs/>
          <w:caps/>
          <w:sz w:val="28"/>
          <w:szCs w:val="28"/>
          <w:lang w:eastAsia="ru-RU"/>
        </w:rPr>
      </w:pPr>
      <w:r>
        <w:rPr>
          <w:sz w:val="28"/>
          <w:szCs w:val="28"/>
        </w:rPr>
        <w:t>- постановление администрации от 05.03.2019 г. № 200 «Об утверждении Административного регламента предоставления муниципальной услуги «Оказание консультационных услуг субъектам малого и среднего предпринимательства»;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от 05.03.2019 г. № 199 «Об утверждении Административного  регламента  по предоставлению муниципальной услуги «Сопровождения инвестиционных проектов по принципу «одного окна»»;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администрации от 26.06.2019 г. № 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временной рабочей группы по формированию благоприятного инвестиционного климата и управлению деятельностью в данной сфере при 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«Светлогорский городской округ»»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730"/>
        <w:gridCol w:w="1984"/>
        <w:gridCol w:w="1418"/>
        <w:gridCol w:w="1769"/>
        <w:gridCol w:w="1916"/>
      </w:tblGrid>
      <w:tr w:rsidR="00772CA8" w:rsidTr="0022141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22141A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22141A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от общего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проектов НПА,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100%</w:t>
            </w:r>
          </w:p>
          <w:p w:rsidR="00772CA8" w:rsidRDefault="0077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СГО</w:t>
            </w:r>
          </w:p>
        </w:tc>
      </w:tr>
      <w:tr w:rsidR="00772CA8" w:rsidTr="0022141A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актов, затрагивающих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осуществления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проведения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затрагивающих вопросы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СГО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Совершенствование процессов управления объектами муниципальной собственности, в том числе для предоставления объектами муниципальной собственности во владение и (или) пользование на долгосрочной основе субъектам малого  и среднего предпринимательства 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образования «Светлогорский городской округ» ежегодно проводится анализ объектов, которые находятся в реестре государственного и муниципального имущества, в том числе имущества казны, земельных участков и закрепленного имущества, в целях выявления неиспользуемого или неэффективно используемого имущества. По результатам анализа выявляются объекты, которые включаются в перечень недвижимого имущества для предоставления субъектам малого и среднего предпринимательства.  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«Светлогорский район»</w:t>
      </w:r>
    </w:p>
    <w:p w:rsidR="00772CA8" w:rsidRDefault="00772CA8" w:rsidP="00772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>
          <w:rPr>
            <w:rStyle w:val="a5"/>
            <w:rFonts w:ascii="Times New Roman" w:eastAsia="Calibri" w:hAnsi="Times New Roman" w:cs="Times New Roman"/>
            <w:color w:val="auto"/>
          </w:rPr>
          <w:t>частью 4 статьи 18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72CA8" w:rsidRDefault="00772CA8" w:rsidP="0077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официальном сайте администрации муниципального образования «Светлогорский район» имеется раздел, предусматривающий поддержку субъектом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в соответствии с </w:t>
      </w:r>
      <w:hyperlink r:id="rId9" w:history="1">
        <w:r>
          <w:rPr>
            <w:rStyle w:val="a5"/>
            <w:rFonts w:ascii="Times New Roman" w:eastAsia="Calibri" w:hAnsi="Times New Roman" w:cs="Times New Roman"/>
            <w:color w:val="auto"/>
          </w:rPr>
          <w:t>частью 4.4 статьи 18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действующих правовых актах:</w:t>
      </w:r>
    </w:p>
    <w:p w:rsidR="00772CA8" w:rsidRDefault="00772CA8" w:rsidP="00772CA8">
      <w:pPr>
        <w:pStyle w:val="3"/>
        <w:spacing w:before="0" w:line="310" w:lineRule="atLeast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- постановление администрации МО «Светлогорский городской округ» от 02.07.2019 № 564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администрацией муниципального образования «Светлогорский городской округ»;</w:t>
      </w:r>
    </w:p>
    <w:p w:rsidR="00772CA8" w:rsidRDefault="00772CA8" w:rsidP="00772CA8">
      <w:pPr>
        <w:pStyle w:val="3"/>
        <w:spacing w:before="0" w:line="31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Решение окружного Совета депутатов МО «Светлогорский городской округ» от 24.12.2018 №82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72CA8" w:rsidRDefault="00772CA8" w:rsidP="00772CA8">
      <w:pPr>
        <w:pStyle w:val="3"/>
        <w:spacing w:before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Постановление администрации МО «Светлогорский район» от 12.01.2018 №04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недвижимого муниципального имущества муниципального образования городское поселение «Город Светлогорск»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b w:val="0"/>
          <w:color w:val="auto"/>
          <w:sz w:val="28"/>
          <w:szCs w:val="28"/>
        </w:rPr>
        <w:t>».</w:t>
      </w:r>
    </w:p>
    <w:p w:rsidR="00772CA8" w:rsidRDefault="00772CA8" w:rsidP="00772CA8">
      <w:pPr>
        <w:spacing w:after="0" w:line="240" w:lineRule="auto"/>
      </w:pPr>
    </w:p>
    <w:tbl>
      <w:tblPr>
        <w:tblW w:w="10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729"/>
        <w:gridCol w:w="1983"/>
        <w:gridCol w:w="1417"/>
        <w:gridCol w:w="1842"/>
        <w:gridCol w:w="1915"/>
      </w:tblGrid>
      <w:tr w:rsidR="00772CA8" w:rsidTr="00772CA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772CA8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772CA8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актуализации реестра имущества, принадлежащего муниципальному образованию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проведения инвентаризации в муниципальных учреждениях выявляются нарушения в части ведения учета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полного уточненного реестра имущества, принадлежащего муниципальному образованию.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СГО»;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«Учетно-финансовый центр СГО»;</w:t>
            </w:r>
          </w:p>
        </w:tc>
      </w:tr>
      <w:tr w:rsidR="00772CA8" w:rsidTr="00772CA8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реализации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собственности администрации СГО, а также ресурсов всех видов, находящихся в муниципальной собственности,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торги на официальном сайте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 доступа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СГО, а также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ресурсов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видов,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размещенного на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СГО и проведении торгов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100%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«Отдел муниципального имущества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СГО»</w:t>
            </w:r>
          </w:p>
        </w:tc>
      </w:tr>
      <w:tr w:rsidR="00772CA8" w:rsidTr="00772CA8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преимущественного права выкупа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 фонда субъектам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в рамках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от 22 июля 2008 года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№159-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купли - продажи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CA8" w:rsidSect="00772C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A8"/>
    <w:rsid w:val="00104D63"/>
    <w:rsid w:val="00150E0D"/>
    <w:rsid w:val="0022141A"/>
    <w:rsid w:val="0027272F"/>
    <w:rsid w:val="00280868"/>
    <w:rsid w:val="002860A9"/>
    <w:rsid w:val="00493808"/>
    <w:rsid w:val="006F7D77"/>
    <w:rsid w:val="00766136"/>
    <w:rsid w:val="00772CA8"/>
    <w:rsid w:val="008830AC"/>
    <w:rsid w:val="008A5DC6"/>
    <w:rsid w:val="008F5A7D"/>
    <w:rsid w:val="00A039F6"/>
    <w:rsid w:val="00A555C0"/>
    <w:rsid w:val="00C60E55"/>
    <w:rsid w:val="00C672E8"/>
    <w:rsid w:val="00D2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8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2CA8"/>
    <w:rPr>
      <w:color w:val="0000FF"/>
      <w:u w:val="single"/>
    </w:rPr>
  </w:style>
  <w:style w:type="character" w:customStyle="1" w:styleId="a6">
    <w:name w:val="Абзац списка Знак"/>
    <w:basedOn w:val="a0"/>
    <w:link w:val="a7"/>
    <w:uiPriority w:val="34"/>
    <w:locked/>
    <w:rsid w:val="0077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7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72CA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semiHidden/>
    <w:rsid w:val="00772C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customStyle="1" w:styleId="91">
    <w:name w:val="Сетка таблицы91"/>
    <w:basedOn w:val="a1"/>
    <w:uiPriority w:val="39"/>
    <w:rsid w:val="00772CA8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ACCE402F3FE3BA8EA5C7124D2DF705982C3EEE016B5A93F22F72AABE3E4AD3A339CC5E14B95D0SDt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file:///C:\Users\o.kasheeva\Desktop\&#1050;&#1086;&#1085;&#1082;&#1091;&#1088;&#1077;&#1085;&#1094;&#1080;&#1103;_&#1057;&#1058;&#1040;&#1053;&#1044;&#1040;&#1056;&#1058;\&#1050;&#1086;&#1085;&#1082;&#1091;&#1088;&#1077;&#1085;&#1094;&#1080;&#1103;_&#1080;&#1085;&#1092;&#1086;&#1088;&#1084;_&#1050;&#1055;_&#1085;&#1072;&#1096;\&#1044;&#1050;_&#1057;&#1043;&#1054;%20(&#1040;&#1074;&#1090;&#1086;&#1089;&#1086;&#1093;&#1088;&#1072;&#1085;&#1077;&#1085;&#1085;&#1099;&#1081;)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Relationship Id="rId9" Type="http://schemas.openxmlformats.org/officeDocument/2006/relationships/hyperlink" Target="consultantplus://offline/ref=807ACCE402F3FE3BA8EA5C7124D2DF705982C3EEE016B5A93F22F72AABE3E4AD3A339CC5E14B95D0SD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4002</Words>
  <Characters>22815</Characters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2019-08-13T14:44:00Z</dcterms:created>
  <dcterms:modified xsi:type="dcterms:W3CDTF">2019-08-13T15:04:00Z</dcterms:modified>
</cp:coreProperties>
</file>